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0802E" w14:textId="77777777" w:rsidR="00D04E42" w:rsidRPr="00D04E42" w:rsidRDefault="00D04E42" w:rsidP="00D04E42">
      <w:pPr>
        <w:spacing w:before="30" w:after="150" w:line="240" w:lineRule="auto"/>
        <w:jc w:val="center"/>
        <w:rPr>
          <w:rFonts w:eastAsia="Times New Roman" w:cs="Times New Roman"/>
          <w:color w:val="000000"/>
          <w:sz w:val="17"/>
          <w:szCs w:val="17"/>
          <w:lang w:eastAsia="da-DK"/>
        </w:rPr>
      </w:pPr>
      <w:bookmarkStart w:id="0" w:name="_GoBack"/>
      <w:bookmarkEnd w:id="0"/>
      <w:r w:rsidRPr="00D04E42">
        <w:rPr>
          <w:rFonts w:eastAsia="Times New Roman" w:cs="Times New Roman"/>
          <w:b/>
          <w:bCs/>
          <w:color w:val="000000"/>
          <w:sz w:val="18"/>
          <w:szCs w:val="18"/>
          <w:lang w:eastAsia="da-DK"/>
        </w:rPr>
        <w:t>Vigtig information om nyt analyseudstyr fra den 25.05.21</w:t>
      </w:r>
    </w:p>
    <w:p w14:paraId="4EA24837" w14:textId="45FCE9CB" w:rsidR="00D04E42" w:rsidRPr="00D04E42"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 xml:space="preserve">Klinisk biokemisk afdeling </w:t>
      </w:r>
      <w:r w:rsidR="00732D55" w:rsidRPr="00110799">
        <w:rPr>
          <w:rFonts w:eastAsia="Times New Roman" w:cs="Times New Roman"/>
          <w:sz w:val="17"/>
          <w:szCs w:val="17"/>
          <w:lang w:eastAsia="da-DK"/>
        </w:rPr>
        <w:t>tog</w:t>
      </w:r>
      <w:r w:rsidR="00732D55">
        <w:rPr>
          <w:rFonts w:eastAsia="Times New Roman" w:cs="Times New Roman"/>
          <w:color w:val="FF0000"/>
          <w:sz w:val="17"/>
          <w:szCs w:val="17"/>
          <w:lang w:eastAsia="da-DK"/>
        </w:rPr>
        <w:t xml:space="preserve"> </w:t>
      </w:r>
      <w:r w:rsidRPr="00D04E42">
        <w:rPr>
          <w:rFonts w:eastAsia="Times New Roman" w:cs="Times New Roman"/>
          <w:color w:val="000000"/>
          <w:sz w:val="17"/>
          <w:szCs w:val="17"/>
          <w:lang w:eastAsia="da-DK"/>
        </w:rPr>
        <w:t xml:space="preserve">nyt udstyr i brug i Gødstrup tirsdag den </w:t>
      </w:r>
      <w:r w:rsidR="00110799">
        <w:rPr>
          <w:rFonts w:eastAsia="Times New Roman" w:cs="Times New Roman"/>
          <w:color w:val="000000"/>
          <w:sz w:val="17"/>
          <w:szCs w:val="17"/>
          <w:lang w:eastAsia="da-DK"/>
        </w:rPr>
        <w:t xml:space="preserve">25. maj 2021. Frem til flytning </w:t>
      </w:r>
      <w:r w:rsidRPr="00D04E42">
        <w:rPr>
          <w:rFonts w:eastAsia="Times New Roman" w:cs="Times New Roman"/>
          <w:color w:val="000000"/>
          <w:sz w:val="17"/>
          <w:szCs w:val="17"/>
          <w:lang w:eastAsia="da-DK"/>
        </w:rPr>
        <w:t>vil det primært blive brugt til analysering af prøver fra praktiserende læger. Herefter og i takt med hospitalsflytningen vil der tillige blive analyseret prøver fra hospitalets rekvirenter.</w:t>
      </w:r>
    </w:p>
    <w:p w14:paraId="42B94836" w14:textId="77777777" w:rsidR="00D04E42" w:rsidRPr="00D04E42"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Der kan i perioden frem til flytningen opleves påvirkede svartider på visse analyser, idet nogle prøver skal transporteres mellem matrikler.</w:t>
      </w:r>
    </w:p>
    <w:p w14:paraId="59141E7A" w14:textId="77777777" w:rsidR="00D04E42" w:rsidRPr="00D04E42"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For de fleste analyser er der ingen eller kun små, ikke klinisk betydende, ændringer. Det kan eksempelvis dreje sig om mindre ændringer i analyseniveau, analyseusikkerhed eller måleområde.</w:t>
      </w:r>
    </w:p>
    <w:p w14:paraId="77F57868" w14:textId="77777777" w:rsidR="00345E37"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 xml:space="preserve">For </w:t>
      </w:r>
      <w:r w:rsidR="00732D55">
        <w:rPr>
          <w:rFonts w:eastAsia="Times New Roman" w:cs="Times New Roman"/>
          <w:color w:val="000000"/>
          <w:sz w:val="17"/>
          <w:szCs w:val="17"/>
          <w:lang w:eastAsia="da-DK"/>
        </w:rPr>
        <w:t>enkelte</w:t>
      </w:r>
      <w:r w:rsidRPr="00D04E42">
        <w:rPr>
          <w:rFonts w:eastAsia="Times New Roman" w:cs="Times New Roman"/>
          <w:color w:val="000000"/>
          <w:sz w:val="17"/>
          <w:szCs w:val="17"/>
          <w:lang w:eastAsia="da-DK"/>
        </w:rPr>
        <w:t xml:space="preserve"> analyser er der større og potentielt klinisk betydende ændringer, som bør kendes i forhold til fortolkning af analyseresultaterne. Ændringerne ses i tabellen herunder. </w:t>
      </w:r>
    </w:p>
    <w:p w14:paraId="685097B7" w14:textId="77777777" w:rsidR="00345E37" w:rsidRDefault="00D04E42" w:rsidP="00345E37">
      <w:pPr>
        <w:pStyle w:val="Listeafsnit"/>
        <w:numPr>
          <w:ilvl w:val="0"/>
          <w:numId w:val="1"/>
        </w:numPr>
        <w:spacing w:before="30" w:after="150" w:line="240" w:lineRule="auto"/>
        <w:rPr>
          <w:rFonts w:eastAsia="Times New Roman" w:cs="Times New Roman"/>
          <w:color w:val="000000"/>
          <w:sz w:val="17"/>
          <w:szCs w:val="17"/>
          <w:lang w:eastAsia="da-DK"/>
        </w:rPr>
      </w:pPr>
      <w:r w:rsidRPr="00345E37">
        <w:rPr>
          <w:rFonts w:eastAsia="Times New Roman" w:cs="Times New Roman"/>
          <w:color w:val="000000"/>
          <w:sz w:val="17"/>
          <w:szCs w:val="17"/>
          <w:lang w:eastAsia="da-DK"/>
        </w:rPr>
        <w:t xml:space="preserve">Ændringerne gælder fra den 25. maj 2021 for prøver fra de praktiserende læger og fra udflytningen til Gødstrup også for hospitalets rekvirenter. </w:t>
      </w:r>
    </w:p>
    <w:p w14:paraId="73E20682" w14:textId="70E04F56" w:rsidR="00D04E42" w:rsidRPr="00345E37" w:rsidRDefault="00D04E42" w:rsidP="00345E37">
      <w:pPr>
        <w:pStyle w:val="Listeafsnit"/>
        <w:numPr>
          <w:ilvl w:val="0"/>
          <w:numId w:val="1"/>
        </w:numPr>
        <w:spacing w:before="30" w:after="150" w:line="240" w:lineRule="auto"/>
        <w:rPr>
          <w:rFonts w:eastAsia="Times New Roman" w:cs="Times New Roman"/>
          <w:color w:val="000000"/>
          <w:sz w:val="17"/>
          <w:szCs w:val="17"/>
          <w:lang w:eastAsia="da-DK"/>
        </w:rPr>
      </w:pPr>
      <w:r w:rsidRPr="00345E37">
        <w:rPr>
          <w:rFonts w:eastAsia="Times New Roman" w:cs="Times New Roman"/>
          <w:color w:val="000000"/>
          <w:sz w:val="17"/>
          <w:szCs w:val="17"/>
          <w:lang w:eastAsia="da-DK"/>
        </w:rPr>
        <w:t>Nyt referenceinterval for PTH er dog gældende for alle rekvirenter.</w:t>
      </w:r>
    </w:p>
    <w:p w14:paraId="4120A169" w14:textId="77777777" w:rsidR="00D04E42" w:rsidRPr="00D04E42"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 xml:space="preserve">Hvis der er behov for flere detaljer om analysernes kvalitet, kan man altid kontakte Klinisk biokemisk afdeling. Når hospitalet er flyttet, vil alle prøver blive analyseret på det nye udstyr, og til den tid vil </w:t>
      </w:r>
      <w:r w:rsidR="00732D55">
        <w:rPr>
          <w:rFonts w:eastAsia="Times New Roman" w:cs="Times New Roman"/>
          <w:color w:val="000000"/>
          <w:sz w:val="17"/>
          <w:szCs w:val="17"/>
          <w:lang w:eastAsia="da-DK"/>
        </w:rPr>
        <w:t xml:space="preserve">alle </w:t>
      </w:r>
      <w:r w:rsidRPr="00D04E42">
        <w:rPr>
          <w:rFonts w:eastAsia="Times New Roman" w:cs="Times New Roman"/>
          <w:color w:val="000000"/>
          <w:sz w:val="17"/>
          <w:szCs w:val="17"/>
          <w:lang w:eastAsia="da-DK"/>
        </w:rPr>
        <w:t>nedenstående ændringer fremgå af Laboratoriehåndbogen.</w:t>
      </w:r>
    </w:p>
    <w:p w14:paraId="1BDD2079" w14:textId="77777777" w:rsidR="00D04E42" w:rsidRPr="00D04E42" w:rsidRDefault="00D04E42" w:rsidP="00D04E42">
      <w:pPr>
        <w:spacing w:before="30" w:after="150" w:line="240" w:lineRule="auto"/>
        <w:rPr>
          <w:rFonts w:eastAsia="Times New Roman" w:cs="Times New Roman"/>
          <w:color w:val="000000"/>
          <w:sz w:val="17"/>
          <w:szCs w:val="17"/>
          <w:lang w:eastAsia="da-DK"/>
        </w:rPr>
      </w:pPr>
      <w:r w:rsidRPr="00D04E42">
        <w:rPr>
          <w:rFonts w:eastAsia="Times New Roman" w:cs="Times New Roman"/>
          <w:color w:val="000000"/>
          <w:sz w:val="17"/>
          <w:szCs w:val="17"/>
          <w:lang w:eastAsia="da-DK"/>
        </w:rPr>
        <w:t> </w:t>
      </w:r>
    </w:p>
    <w:tbl>
      <w:tblPr>
        <w:tblW w:w="0" w:type="dxa"/>
        <w:tblCellMar>
          <w:left w:w="0" w:type="dxa"/>
          <w:right w:w="0" w:type="dxa"/>
        </w:tblCellMar>
        <w:tblLook w:val="04A0" w:firstRow="1" w:lastRow="0" w:firstColumn="1" w:lastColumn="0" w:noHBand="0" w:noVBand="1"/>
      </w:tblPr>
      <w:tblGrid>
        <w:gridCol w:w="2612"/>
        <w:gridCol w:w="1754"/>
        <w:gridCol w:w="5252"/>
      </w:tblGrid>
      <w:tr w:rsidR="00D04E42" w:rsidRPr="00D04E42" w14:paraId="790BA0D9" w14:textId="77777777" w:rsidTr="00D04E42">
        <w:tc>
          <w:tcPr>
            <w:tcW w:w="2689"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0D3387F2"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b/>
                <w:bCs/>
                <w:sz w:val="17"/>
                <w:szCs w:val="17"/>
                <w:lang w:eastAsia="da-DK"/>
              </w:rPr>
              <w:t>Analyse</w:t>
            </w:r>
          </w:p>
        </w:tc>
        <w:tc>
          <w:tcPr>
            <w:tcW w:w="1842"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14:paraId="0CF2F50E"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b/>
                <w:bCs/>
                <w:sz w:val="17"/>
                <w:szCs w:val="17"/>
                <w:lang w:eastAsia="da-DK"/>
              </w:rPr>
              <w:t>NPU nummer</w:t>
            </w:r>
          </w:p>
        </w:tc>
        <w:tc>
          <w:tcPr>
            <w:tcW w:w="5670" w:type="dxa"/>
            <w:tcBorders>
              <w:top w:val="single" w:sz="8" w:space="0" w:color="auto"/>
              <w:left w:val="nil"/>
              <w:bottom w:val="single" w:sz="8" w:space="0" w:color="auto"/>
              <w:right w:val="single" w:sz="8" w:space="0" w:color="auto"/>
            </w:tcBorders>
            <w:tcMar>
              <w:top w:w="113" w:type="dxa"/>
              <w:left w:w="108" w:type="dxa"/>
              <w:bottom w:w="113" w:type="dxa"/>
              <w:right w:w="108" w:type="dxa"/>
            </w:tcMar>
            <w:vAlign w:val="center"/>
            <w:hideMark/>
          </w:tcPr>
          <w:p w14:paraId="5FAFDF05"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b/>
                <w:bCs/>
                <w:sz w:val="17"/>
                <w:szCs w:val="17"/>
                <w:lang w:eastAsia="da-DK"/>
              </w:rPr>
              <w:t>Ændring</w:t>
            </w:r>
          </w:p>
        </w:tc>
      </w:tr>
      <w:tr w:rsidR="00D04E42" w:rsidRPr="00D04E42" w14:paraId="1792BC4D"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4E26A376"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shd w:val="clear" w:color="auto" w:fill="FFFFFF"/>
                <w:lang w:eastAsia="da-DK"/>
              </w:rPr>
              <w:t>P-Albumin</w:t>
            </w:r>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3B59BECF"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shd w:val="clear" w:color="auto" w:fill="FFFFFF"/>
                <w:lang w:eastAsia="da-DK"/>
              </w:rPr>
              <w:t>NPU 19673</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7CF9D5F9"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Resultater under 35 g/L: op til 30% lavere.</w:t>
            </w:r>
          </w:p>
        </w:tc>
      </w:tr>
      <w:tr w:rsidR="00D04E42" w:rsidRPr="004A1538" w14:paraId="43DA7E8C"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734E9FC6"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P-Koagulationsfaktor</w:t>
            </w:r>
          </w:p>
          <w:p w14:paraId="2A546BE9"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II+VII+X [INR]</w:t>
            </w:r>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03BCA297"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NPU01685</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76B61F45"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INR 2,0-6,0: gennemsnitlig 0,2-0,3 højere.</w:t>
            </w:r>
            <w:r w:rsidRPr="00D04E42">
              <w:rPr>
                <w:rFonts w:eastAsia="Times New Roman" w:cs="Times New Roman"/>
                <w:sz w:val="17"/>
                <w:szCs w:val="17"/>
                <w:lang w:eastAsia="da-DK"/>
              </w:rPr>
              <w:br/>
              <w:t>INR &gt;6,0: gennemsnitlig 0,5 lavere.</w:t>
            </w:r>
          </w:p>
        </w:tc>
      </w:tr>
      <w:tr w:rsidR="00D04E42" w:rsidRPr="00D04E42" w14:paraId="6FCB727B"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30358AAA" w14:textId="77777777" w:rsidR="00D04E42" w:rsidRPr="00110799" w:rsidRDefault="00D04E42" w:rsidP="00D04E42">
            <w:pPr>
              <w:spacing w:before="30" w:after="150" w:line="177" w:lineRule="atLeast"/>
              <w:ind w:right="-881"/>
              <w:rPr>
                <w:rFonts w:eastAsia="Times New Roman" w:cs="Times New Roman"/>
                <w:sz w:val="17"/>
                <w:szCs w:val="17"/>
                <w:lang w:eastAsia="da-DK"/>
              </w:rPr>
            </w:pPr>
            <w:proofErr w:type="spellStart"/>
            <w:r w:rsidRPr="00110799">
              <w:rPr>
                <w:rFonts w:eastAsia="Times New Roman" w:cs="Times New Roman"/>
                <w:sz w:val="17"/>
                <w:szCs w:val="17"/>
                <w:lang w:eastAsia="da-DK"/>
              </w:rPr>
              <w:t>B-Metamye</w:t>
            </w:r>
            <w:proofErr w:type="spellEnd"/>
            <w:r w:rsidRPr="00110799">
              <w:rPr>
                <w:rFonts w:eastAsia="Times New Roman" w:cs="Times New Roman"/>
                <w:sz w:val="17"/>
                <w:szCs w:val="17"/>
                <w:lang w:eastAsia="da-DK"/>
              </w:rPr>
              <w:t>lo.+Myelo.+</w:t>
            </w:r>
            <w:r w:rsidRPr="00110799">
              <w:rPr>
                <w:rFonts w:eastAsia="Times New Roman" w:cs="Times New Roman"/>
                <w:sz w:val="17"/>
                <w:szCs w:val="17"/>
                <w:lang w:eastAsia="da-DK"/>
              </w:rPr>
              <w:br/>
            </w:r>
            <w:proofErr w:type="spellStart"/>
            <w:r w:rsidRPr="00110799">
              <w:rPr>
                <w:rFonts w:eastAsia="Times New Roman" w:cs="Times New Roman"/>
                <w:sz w:val="17"/>
                <w:szCs w:val="17"/>
                <w:lang w:eastAsia="da-DK"/>
              </w:rPr>
              <w:t>Promyelocytter</w:t>
            </w:r>
            <w:proofErr w:type="spellEnd"/>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11157261"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NPU26631</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4BD30DB4"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Ny analyse for umodne leukocytter erstatter "venstreforskydning".</w:t>
            </w:r>
          </w:p>
          <w:p w14:paraId="7AC19704"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Kan ikke rekvireres. For yderligere information se Laboratoriehåndbogen.</w:t>
            </w:r>
          </w:p>
        </w:tc>
      </w:tr>
      <w:tr w:rsidR="00D04E42" w:rsidRPr="00D04E42" w14:paraId="1F07A853"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6AF3C69A"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B-</w:t>
            </w:r>
            <w:proofErr w:type="spellStart"/>
            <w:r w:rsidRPr="00D04E42">
              <w:rPr>
                <w:rFonts w:eastAsia="Times New Roman" w:cs="Times New Roman"/>
                <w:sz w:val="17"/>
                <w:szCs w:val="17"/>
                <w:lang w:eastAsia="da-DK"/>
              </w:rPr>
              <w:t>Monocytter</w:t>
            </w:r>
            <w:proofErr w:type="spellEnd"/>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2516EDC5"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NPU02840</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7BAC60BA" w14:textId="77777777" w:rsidR="00D04E42" w:rsidRPr="00D04E42" w:rsidRDefault="00D04E42" w:rsidP="00D04E42">
            <w:pPr>
              <w:spacing w:before="30" w:after="150" w:line="177" w:lineRule="atLeast"/>
              <w:ind w:right="-881"/>
              <w:rPr>
                <w:rFonts w:eastAsia="Times New Roman" w:cs="Times New Roman"/>
                <w:sz w:val="17"/>
                <w:szCs w:val="17"/>
                <w:lang w:eastAsia="da-DK"/>
              </w:rPr>
            </w:pPr>
            <w:r w:rsidRPr="00D04E42">
              <w:rPr>
                <w:rFonts w:eastAsia="Times New Roman" w:cs="Times New Roman"/>
                <w:sz w:val="17"/>
                <w:szCs w:val="17"/>
                <w:lang w:eastAsia="da-DK"/>
              </w:rPr>
              <w:t>Den nye metode giver højere antal.</w:t>
            </w:r>
          </w:p>
        </w:tc>
      </w:tr>
      <w:tr w:rsidR="00D04E42" w:rsidRPr="00D04E42" w14:paraId="6F2BC854"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03D1293C"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shd w:val="clear" w:color="auto" w:fill="FFFFFF"/>
                <w:lang w:eastAsia="da-DK"/>
              </w:rPr>
              <w:t>P-</w:t>
            </w:r>
            <w:proofErr w:type="spellStart"/>
            <w:r w:rsidRPr="00110799">
              <w:rPr>
                <w:rFonts w:eastAsia="Times New Roman" w:cs="Times New Roman"/>
                <w:sz w:val="17"/>
                <w:szCs w:val="17"/>
                <w:shd w:val="clear" w:color="auto" w:fill="FFFFFF"/>
                <w:lang w:eastAsia="da-DK"/>
              </w:rPr>
              <w:t>Parathyrin</w:t>
            </w:r>
            <w:proofErr w:type="spellEnd"/>
            <w:r w:rsidRPr="00110799">
              <w:rPr>
                <w:rFonts w:eastAsia="Times New Roman" w:cs="Times New Roman"/>
                <w:sz w:val="17"/>
                <w:szCs w:val="17"/>
                <w:shd w:val="clear" w:color="auto" w:fill="FFFFFF"/>
                <w:lang w:eastAsia="da-DK"/>
              </w:rPr>
              <w:t xml:space="preserve"> [PTH]</w:t>
            </w:r>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0A27954D"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AAB00534</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6B81D741" w14:textId="77777777" w:rsidR="00D04E42" w:rsidRPr="00110799" w:rsidRDefault="00D04E42" w:rsidP="00D04E42">
            <w:pPr>
              <w:spacing w:before="30" w:after="150" w:line="177" w:lineRule="atLeast"/>
              <w:ind w:right="-881"/>
              <w:rPr>
                <w:rFonts w:eastAsia="Times New Roman" w:cs="Times New Roman"/>
                <w:sz w:val="17"/>
                <w:szCs w:val="17"/>
                <w:lang w:eastAsia="da-DK"/>
              </w:rPr>
            </w:pPr>
            <w:proofErr w:type="spellStart"/>
            <w:r w:rsidRPr="00110799">
              <w:rPr>
                <w:rFonts w:eastAsia="Times New Roman" w:cs="Times New Roman"/>
                <w:sz w:val="17"/>
                <w:szCs w:val="17"/>
                <w:lang w:val="sv-SE" w:eastAsia="da-DK"/>
              </w:rPr>
              <w:t>Nyt</w:t>
            </w:r>
            <w:proofErr w:type="spellEnd"/>
            <w:r w:rsidRPr="00110799">
              <w:rPr>
                <w:rFonts w:eastAsia="Times New Roman" w:cs="Times New Roman"/>
                <w:sz w:val="17"/>
                <w:szCs w:val="17"/>
                <w:lang w:val="sv-SE" w:eastAsia="da-DK"/>
              </w:rPr>
              <w:t xml:space="preserve"> </w:t>
            </w:r>
            <w:proofErr w:type="spellStart"/>
            <w:r w:rsidRPr="00110799">
              <w:rPr>
                <w:rFonts w:eastAsia="Times New Roman" w:cs="Times New Roman"/>
                <w:sz w:val="17"/>
                <w:szCs w:val="17"/>
                <w:lang w:val="sv-SE" w:eastAsia="da-DK"/>
              </w:rPr>
              <w:t>referenceinterval</w:t>
            </w:r>
            <w:proofErr w:type="spellEnd"/>
            <w:r w:rsidRPr="00110799">
              <w:rPr>
                <w:rFonts w:eastAsia="Times New Roman" w:cs="Times New Roman"/>
                <w:sz w:val="17"/>
                <w:szCs w:val="17"/>
                <w:lang w:val="sv-SE" w:eastAsia="da-DK"/>
              </w:rPr>
              <w:t xml:space="preserve"> for </w:t>
            </w:r>
            <w:proofErr w:type="spellStart"/>
            <w:r w:rsidRPr="00110799">
              <w:rPr>
                <w:rFonts w:eastAsia="Times New Roman" w:cs="Times New Roman"/>
                <w:sz w:val="17"/>
                <w:szCs w:val="17"/>
                <w:lang w:val="sv-SE" w:eastAsia="da-DK"/>
              </w:rPr>
              <w:t>voksne</w:t>
            </w:r>
            <w:proofErr w:type="spellEnd"/>
            <w:r w:rsidRPr="00110799">
              <w:rPr>
                <w:rFonts w:eastAsia="Times New Roman" w:cs="Times New Roman"/>
                <w:sz w:val="17"/>
                <w:szCs w:val="17"/>
                <w:lang w:val="sv-SE" w:eastAsia="da-DK"/>
              </w:rPr>
              <w:t xml:space="preserve">: 1,9 – 10,6 </w:t>
            </w:r>
            <w:proofErr w:type="spellStart"/>
            <w:r w:rsidRPr="00110799">
              <w:rPr>
                <w:rFonts w:eastAsia="Times New Roman" w:cs="Times New Roman"/>
                <w:sz w:val="17"/>
                <w:szCs w:val="17"/>
                <w:lang w:val="sv-SE" w:eastAsia="da-DK"/>
              </w:rPr>
              <w:t>pmol</w:t>
            </w:r>
            <w:proofErr w:type="spellEnd"/>
            <w:r w:rsidRPr="00110799">
              <w:rPr>
                <w:rFonts w:eastAsia="Times New Roman" w:cs="Times New Roman"/>
                <w:sz w:val="17"/>
                <w:szCs w:val="17"/>
                <w:lang w:val="sv-SE" w:eastAsia="da-DK"/>
              </w:rPr>
              <w:t>/L</w:t>
            </w:r>
          </w:p>
        </w:tc>
      </w:tr>
      <w:tr w:rsidR="00D04E42" w:rsidRPr="00D04E42" w14:paraId="25ECAC54" w14:textId="77777777" w:rsidTr="00D04E42">
        <w:tc>
          <w:tcPr>
            <w:tcW w:w="2689" w:type="dxa"/>
            <w:tcBorders>
              <w:top w:val="nil"/>
              <w:left w:val="single" w:sz="8" w:space="0" w:color="auto"/>
              <w:bottom w:val="single" w:sz="8" w:space="0" w:color="auto"/>
              <w:right w:val="single" w:sz="8" w:space="0" w:color="auto"/>
            </w:tcBorders>
            <w:tcMar>
              <w:top w:w="113" w:type="dxa"/>
              <w:left w:w="108" w:type="dxa"/>
              <w:bottom w:w="113" w:type="dxa"/>
              <w:right w:w="108" w:type="dxa"/>
            </w:tcMar>
            <w:vAlign w:val="center"/>
            <w:hideMark/>
          </w:tcPr>
          <w:p w14:paraId="7DB1381F"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B-</w:t>
            </w:r>
            <w:proofErr w:type="spellStart"/>
            <w:r w:rsidRPr="00110799">
              <w:rPr>
                <w:rFonts w:eastAsia="Times New Roman" w:cs="Times New Roman"/>
                <w:sz w:val="17"/>
                <w:szCs w:val="17"/>
                <w:lang w:eastAsia="da-DK"/>
              </w:rPr>
              <w:t>Reticulocytter</w:t>
            </w:r>
            <w:proofErr w:type="spellEnd"/>
          </w:p>
        </w:tc>
        <w:tc>
          <w:tcPr>
            <w:tcW w:w="1842"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12C2F5F9"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AAB00533</w:t>
            </w:r>
          </w:p>
        </w:tc>
        <w:tc>
          <w:tcPr>
            <w:tcW w:w="5670" w:type="dxa"/>
            <w:tcBorders>
              <w:top w:val="nil"/>
              <w:left w:val="nil"/>
              <w:bottom w:val="single" w:sz="8" w:space="0" w:color="auto"/>
              <w:right w:val="single" w:sz="8" w:space="0" w:color="auto"/>
            </w:tcBorders>
            <w:tcMar>
              <w:top w:w="113" w:type="dxa"/>
              <w:left w:w="108" w:type="dxa"/>
              <w:bottom w:w="113" w:type="dxa"/>
              <w:right w:w="108" w:type="dxa"/>
            </w:tcMar>
            <w:vAlign w:val="center"/>
            <w:hideMark/>
          </w:tcPr>
          <w:p w14:paraId="6158ED1C" w14:textId="77777777" w:rsidR="00D04E42" w:rsidRPr="00110799" w:rsidRDefault="00D04E42" w:rsidP="00D04E42">
            <w:pPr>
              <w:spacing w:before="30" w:after="150" w:line="177" w:lineRule="atLeast"/>
              <w:ind w:right="-104"/>
              <w:rPr>
                <w:rFonts w:eastAsia="Times New Roman" w:cs="Times New Roman"/>
                <w:sz w:val="17"/>
                <w:szCs w:val="17"/>
                <w:lang w:eastAsia="da-DK"/>
              </w:rPr>
            </w:pPr>
            <w:r w:rsidRPr="00110799">
              <w:rPr>
                <w:rFonts w:eastAsia="Times New Roman" w:cs="Times New Roman"/>
                <w:sz w:val="17"/>
                <w:szCs w:val="17"/>
                <w:lang w:eastAsia="da-DK"/>
              </w:rPr>
              <w:t>Nyt referenceinterval for mænd og kvinder:</w:t>
            </w:r>
          </w:p>
          <w:p w14:paraId="2B8D3C8A" w14:textId="77777777" w:rsidR="00D04E42" w:rsidRPr="00110799" w:rsidRDefault="00D04E42" w:rsidP="00D04E42">
            <w:pPr>
              <w:spacing w:before="30" w:after="150" w:line="177" w:lineRule="atLeast"/>
              <w:ind w:right="-104"/>
              <w:rPr>
                <w:rFonts w:eastAsia="Times New Roman" w:cs="Times New Roman"/>
                <w:sz w:val="17"/>
                <w:szCs w:val="17"/>
                <w:lang w:eastAsia="da-DK"/>
              </w:rPr>
            </w:pPr>
            <w:r w:rsidRPr="00110799">
              <w:rPr>
                <w:rFonts w:eastAsia="Times New Roman" w:cs="Times New Roman"/>
                <w:sz w:val="17"/>
                <w:szCs w:val="17"/>
                <w:lang w:eastAsia="da-DK"/>
              </w:rPr>
              <w:t>39-139*10^9/L.</w:t>
            </w:r>
          </w:p>
          <w:p w14:paraId="64584D27"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Skyldes at nyt udstyr måler højere værdier.</w:t>
            </w:r>
          </w:p>
          <w:p w14:paraId="2A94B4E6" w14:textId="77777777" w:rsidR="00D04E42" w:rsidRPr="00110799" w:rsidRDefault="00D04E42" w:rsidP="00D04E42">
            <w:pPr>
              <w:spacing w:before="30" w:after="150" w:line="177" w:lineRule="atLeast"/>
              <w:ind w:right="-881"/>
              <w:rPr>
                <w:rFonts w:eastAsia="Times New Roman" w:cs="Times New Roman"/>
                <w:sz w:val="17"/>
                <w:szCs w:val="17"/>
                <w:lang w:eastAsia="da-DK"/>
              </w:rPr>
            </w:pPr>
            <w:r w:rsidRPr="00110799">
              <w:rPr>
                <w:rFonts w:eastAsia="Times New Roman" w:cs="Times New Roman"/>
                <w:sz w:val="17"/>
                <w:szCs w:val="17"/>
                <w:lang w:eastAsia="da-DK"/>
              </w:rPr>
              <w:t>Der er ikke etableret referenceinterval for børn.</w:t>
            </w:r>
          </w:p>
        </w:tc>
      </w:tr>
    </w:tbl>
    <w:p w14:paraId="039BE504" w14:textId="77777777" w:rsidR="004A1538" w:rsidRDefault="004A1538" w:rsidP="00D04E42">
      <w:pPr>
        <w:spacing w:before="30" w:after="150" w:line="240" w:lineRule="auto"/>
        <w:rPr>
          <w:rFonts w:eastAsia="Times New Roman" w:cs="Times New Roman"/>
          <w:strike/>
          <w:color w:val="000000"/>
          <w:sz w:val="17"/>
          <w:szCs w:val="17"/>
          <w:lang w:eastAsia="da-DK"/>
        </w:rPr>
      </w:pPr>
    </w:p>
    <w:p w14:paraId="30B0C60A" w14:textId="77777777" w:rsidR="005F222D" w:rsidRPr="004A1538" w:rsidRDefault="005F222D" w:rsidP="004A1538">
      <w:pPr>
        <w:pStyle w:val="Ingenafstand"/>
        <w:spacing w:line="259" w:lineRule="auto"/>
        <w:rPr>
          <w:strike/>
        </w:rPr>
      </w:pPr>
    </w:p>
    <w:sectPr w:rsidR="005F222D" w:rsidRPr="004A15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2073"/>
    <w:multiLevelType w:val="hybridMultilevel"/>
    <w:tmpl w:val="2E365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42"/>
    <w:rsid w:val="00110799"/>
    <w:rsid w:val="0033565B"/>
    <w:rsid w:val="00345E37"/>
    <w:rsid w:val="004A1538"/>
    <w:rsid w:val="005F222D"/>
    <w:rsid w:val="00732D55"/>
    <w:rsid w:val="0078773B"/>
    <w:rsid w:val="00C37A83"/>
    <w:rsid w:val="00D04E42"/>
    <w:rsid w:val="00D16E9C"/>
    <w:rsid w:val="00D62C69"/>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3978"/>
  <w15:chartTrackingRefBased/>
  <w15:docId w15:val="{451B7993-9852-4051-BA53-216E8E94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A3"/>
    <w:pPr>
      <w:spacing w:after="0"/>
    </w:p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NormalWeb">
    <w:name w:val="Normal (Web)"/>
    <w:basedOn w:val="Normal"/>
    <w:uiPriority w:val="99"/>
    <w:semiHidden/>
    <w:unhideWhenUsed/>
    <w:rsid w:val="00D04E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D04E42"/>
    <w:rPr>
      <w:b/>
      <w:bCs/>
    </w:rPr>
  </w:style>
  <w:style w:type="character" w:styleId="Kommentarhenvisning">
    <w:name w:val="annotation reference"/>
    <w:basedOn w:val="Standardskrifttypeiafsnit"/>
    <w:uiPriority w:val="99"/>
    <w:semiHidden/>
    <w:unhideWhenUsed/>
    <w:rsid w:val="00732D55"/>
    <w:rPr>
      <w:sz w:val="16"/>
      <w:szCs w:val="16"/>
    </w:rPr>
  </w:style>
  <w:style w:type="paragraph" w:styleId="Kommentartekst">
    <w:name w:val="annotation text"/>
    <w:basedOn w:val="Normal"/>
    <w:link w:val="KommentartekstTegn"/>
    <w:uiPriority w:val="99"/>
    <w:semiHidden/>
    <w:unhideWhenUsed/>
    <w:rsid w:val="00732D55"/>
    <w:pPr>
      <w:spacing w:line="240" w:lineRule="auto"/>
    </w:pPr>
  </w:style>
  <w:style w:type="character" w:customStyle="1" w:styleId="KommentartekstTegn">
    <w:name w:val="Kommentartekst Tegn"/>
    <w:basedOn w:val="Standardskrifttypeiafsnit"/>
    <w:link w:val="Kommentartekst"/>
    <w:uiPriority w:val="99"/>
    <w:semiHidden/>
    <w:rsid w:val="00732D55"/>
  </w:style>
  <w:style w:type="paragraph" w:styleId="Kommentaremne">
    <w:name w:val="annotation subject"/>
    <w:basedOn w:val="Kommentartekst"/>
    <w:next w:val="Kommentartekst"/>
    <w:link w:val="KommentaremneTegn"/>
    <w:uiPriority w:val="99"/>
    <w:semiHidden/>
    <w:unhideWhenUsed/>
    <w:rsid w:val="00732D55"/>
    <w:rPr>
      <w:b/>
      <w:bCs/>
    </w:rPr>
  </w:style>
  <w:style w:type="character" w:customStyle="1" w:styleId="KommentaremneTegn">
    <w:name w:val="Kommentaremne Tegn"/>
    <w:basedOn w:val="KommentartekstTegn"/>
    <w:link w:val="Kommentaremne"/>
    <w:uiPriority w:val="99"/>
    <w:semiHidden/>
    <w:rsid w:val="00732D55"/>
    <w:rPr>
      <w:b/>
      <w:bCs/>
    </w:rPr>
  </w:style>
  <w:style w:type="paragraph" w:styleId="Markeringsbobletekst">
    <w:name w:val="Balloon Text"/>
    <w:basedOn w:val="Normal"/>
    <w:link w:val="MarkeringsbobletekstTegn"/>
    <w:uiPriority w:val="99"/>
    <w:semiHidden/>
    <w:unhideWhenUsed/>
    <w:rsid w:val="00732D55"/>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2D55"/>
    <w:rPr>
      <w:rFonts w:ascii="Segoe UI" w:hAnsi="Segoe UI" w:cs="Segoe UI"/>
      <w:sz w:val="18"/>
      <w:szCs w:val="18"/>
    </w:rPr>
  </w:style>
  <w:style w:type="paragraph" w:styleId="Listeafsnit">
    <w:name w:val="List Paragraph"/>
    <w:basedOn w:val="Normal"/>
    <w:uiPriority w:val="34"/>
    <w:qFormat/>
    <w:rsid w:val="0034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82EA-FBBD-4C0E-8B92-0A255589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Østergaard Nielsen</dc:creator>
  <cp:keywords/>
  <dc:description/>
  <cp:lastModifiedBy>Dorte Søndergaard</cp:lastModifiedBy>
  <cp:revision>2</cp:revision>
  <dcterms:created xsi:type="dcterms:W3CDTF">2021-11-17T10:08:00Z</dcterms:created>
  <dcterms:modified xsi:type="dcterms:W3CDTF">2021-11-17T10:08:00Z</dcterms:modified>
</cp:coreProperties>
</file>